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Proposition</w:t>
      </w:r>
    </w:p>
    <w:p>
      <w:pPr>
        <w:spacing w:after="360"/>
      </w:pPr>
      <w:r>
        <w:rPr>
          <w:color w:val="3A424C"/>
          <w:sz w:val="30"/>
        </w:rPr>
        <w:t>Réfection des conduites d'aqueduc et d'égout sanitaire, rue des Érables (phase 2)</w:t>
      </w:r>
    </w:p>
    <w:tbl>
      <w:tblPr>
        <w:tblW w:type="dxa" w:w="9972"/>
        <w:jc w:val="left"/>
        <w:tblBorders>
          <w:top w:val="single" w:sz="4" w:space="0" w:color="D5DAE0"/>
          <w:left w:val="nil"/>
          <w:bottom w:val="single" w:sz="4" w:space="0" w:color="D5DAE0"/>
          <w:right w:val="nil"/>
          <w:insideH w:val="single" w:sz="4" w:space="0" w:color="D5DAE0"/>
          <w:insideV w:val="nil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firstColumn="1" w:firstRow="1" w:lastColumn="0" w:lastRow="0" w:noHBand="0" w:noVBand="1" w:val="04A0"/>
      </w:tblPr>
      <w:tblGrid>
        <w:gridCol w:w="2835"/>
        <w:gridCol w:w="7138"/>
      </w:tblGrid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Numéro de l'avis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MA-2026-041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Donneur d'ouvrage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Ville de Mont-Aurèle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Dépôt des soumissions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27 octobre 2026 à 11 h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Soumissionnaire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Terrassement Hautes-Brumes inc.</w:t>
            </w:r>
          </w:p>
        </w:tc>
      </w:tr>
    </w:tbl>
    <w:p>
      <w:pPr>
        <w:spacing w:after="0" w:line="160" w:lineRule="exact"/>
      </w:pPr>
    </w:p>
    <w:p>
      <w:pPr>
        <w:spacing w:before="280"/>
      </w:pPr>
      <w:r>
        <w:rPr>
          <w:i/>
          <w:sz w:val="19"/>
          <w:highlight w:val="yellow"/>
        </w:rPr>
        <w:t>Brouillon préparé avec Discer le 8 octobre 2026. Complétez les zones surlignées et supprimez ce paragraphe avant le dépôt.</w:t>
      </w:r>
    </w:p>
    <w:p>
      <w:pPr>
        <w:pStyle w:val="Heading1"/>
        <w:pageBreakBefore/>
      </w:pPr>
      <w:r>
        <w:t>Lettre de présentation</w:t>
      </w:r>
    </w:p>
    <w:p>
      <w:pPr>
        <w:spacing w:after="280"/>
      </w:pPr>
      <w:r/>
      <w:r>
        <w:t>Sherbrooke</w:t>
      </w:r>
      <w:r>
        <w:t xml:space="preserve">, le </w:t>
      </w:r>
      <w:r>
        <w:rPr>
          <w:highlight w:val="yellow"/>
        </w:rPr>
        <w:t>[Date]</w:t>
      </w:r>
      <w:r/>
    </w:p>
    <w:p>
      <w:pPr>
        <w:spacing w:after="0"/>
      </w:pPr>
      <w:r>
        <w:t>Ville de Mont-Aurèle</w:t>
      </w:r>
    </w:p>
    <w:p>
      <w:pPr>
        <w:spacing w:after="280"/>
      </w:pPr>
      <w:r>
        <w:rPr>
          <w:highlight w:val="yellow"/>
        </w:rPr>
        <w:t>[Adresse du donneur d'ouvrage]</w:t>
      </w:r>
    </w:p>
    <w:p>
      <w:pPr>
        <w:spacing w:after="280"/>
      </w:pPr>
      <w:r>
        <w:rPr>
          <w:b/>
        </w:rPr>
        <w:t xml:space="preserve">Objet : </w:t>
      </w:r>
      <w:r>
        <w:rPr>
          <w:b/>
        </w:rPr>
        <w:t>Réfection des conduites d'aqueduc et d'égout sanitaire, rue des Érables (phase 2)</w:t>
      </w:r>
      <w:r>
        <w:rPr>
          <w:b/>
        </w:rPr>
        <w:t xml:space="preserve"> (MA-2026-041)</w:t>
      </w:r>
    </w:p>
    <w:p>
      <w:pPr>
        <w:spacing w:after="200"/>
      </w:pPr>
      <w:r>
        <w:t>Madame, Monsieur,</w:t>
      </w:r>
    </w:p>
    <w:p>
      <w:pPr>
        <w:spacing w:after="200"/>
      </w:pPr>
      <w:r>
        <w:t>Terrassement Hautes-Brumes inc.</w:t>
      </w:r>
      <w:r>
        <w:t xml:space="preserve"> a pris connaissance des documents de l'appel d'offres « </w:t>
      </w:r>
      <w:r>
        <w:t>Réfection des conduites d'aqueduc et d'égout sanitaire, rue des Érables (phase 2)</w:t>
      </w:r>
      <w:r>
        <w:t xml:space="preserve"> » et présente sa soumission conformément aux conditions qui y sont prévues.</w:t>
      </w:r>
    </w:p>
    <w:p>
      <w:pPr>
        <w:spacing w:after="200"/>
      </w:pPr>
      <w:r>
        <w:t>Veuillez agréer, Madame, Monsieur, l'expression de nos salutations distinguées.</w:t>
      </w:r>
    </w:p>
    <w:p>
      <w:pPr>
        <w:keepNext/>
        <w:spacing w:before="720" w:after="0"/>
      </w:pPr>
      <w:r>
        <w:rPr>
          <w:b/>
        </w:rPr>
        <w:t>Mathieu Bérubé</w:t>
      </w:r>
    </w:p>
    <w:p>
      <w:pPr>
        <w:keepNext/>
        <w:spacing w:after="0"/>
      </w:pPr>
      <w:r>
        <w:t>Président</w:t>
      </w:r>
    </w:p>
    <w:p>
      <w:r>
        <w:t>Terrassement Hautes-Brumes inc.</w:t>
      </w:r>
    </w:p>
    <w:p>
      <w:pPr>
        <w:pStyle w:val="Heading1"/>
        <w:pageBreakBefore/>
      </w:pPr>
      <w:r>
        <w:t>Identification du soumissionnaire</w:t>
      </w:r>
    </w:p>
    <w:tbl>
      <w:tblPr>
        <w:tblW w:type="dxa" w:w="9972"/>
        <w:jc w:val="left"/>
        <w:tblBorders>
          <w:top w:val="single" w:sz="4" w:space="0" w:color="D5DAE0"/>
          <w:left w:val="nil"/>
          <w:bottom w:val="single" w:sz="4" w:space="0" w:color="D5DAE0"/>
          <w:right w:val="nil"/>
          <w:insideH w:val="single" w:sz="4" w:space="0" w:color="D5DAE0"/>
          <w:insideV w:val="nil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firstColumn="1" w:firstRow="1" w:lastColumn="0" w:lastRow="0" w:noHBand="0" w:noVBand="1" w:val="04A0"/>
      </w:tblPr>
      <w:tblGrid>
        <w:gridCol w:w="2835"/>
        <w:gridCol w:w="7138"/>
      </w:tblGrid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Nom légal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Terrassement Hautes-Brumes inc.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NEQ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9900000100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Adresse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180, rue des Entrepreneurs, Sherbrooke QC, J1L 0A1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Téléphone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819 555-0130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Courriel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estimation@hautes-brumes.ca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Licence RBQ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5700-1234-01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Sous-catégories RBQ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1.4, 2.5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N° TPS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123456789 RT0001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N° TVQ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1234567890 TQ0001</w:t>
            </w:r>
          </w:p>
        </w:tc>
      </w:tr>
      <w:tr>
        <w:trPr>
          <w:cantSplit/>
        </w:trPr>
        <w:tc>
          <w:tcPr>
            <w:tcW w:type="dxa" w:w="2835"/>
            <w:vAlign w:val="top"/>
          </w:tcPr>
          <w:p>
            <w:pPr>
              <w:pStyle w:val="Tableau"/>
            </w:pPr>
            <w:r>
              <w:rPr>
                <w:color w:val="3A424C"/>
              </w:rPr>
              <w:t>Signataire autorisé</w:t>
            </w:r>
          </w:p>
        </w:tc>
        <w:tc>
          <w:tcPr>
            <w:tcW w:type="dxa" w:w="7138"/>
            <w:vAlign w:val="top"/>
          </w:tcPr>
          <w:p>
            <w:pPr>
              <w:pStyle w:val="Tableau"/>
            </w:pPr>
            <w:r>
              <w:t>Mathieu Bérubé</w:t>
            </w:r>
            <w:r>
              <w:t xml:space="preserve">, </w:t>
            </w:r>
            <w:r>
              <w:t>Président</w:t>
            </w:r>
          </w:p>
        </w:tc>
      </w:tr>
    </w:tbl>
    <w:p>
      <w:pPr>
        <w:spacing w:after="0" w:line="160" w:lineRule="exact"/>
      </w:pPr>
    </w:p>
    <w:p>
      <w:pPr>
        <w:pStyle w:val="Heading1"/>
      </w:pPr>
      <w:r>
        <w:t>Compréhension du mandat</w:t>
      </w:r>
    </w:p>
    <w:p>
      <w:r>
        <w:rPr>
          <w:i/>
          <w:sz w:val="19"/>
          <w:highlight w:val="yellow"/>
        </w:rPr>
        <w:t>Résumé tiré de l'analyse ; reformulez-le avec vos mots et votre approche.</w:t>
      </w:r>
    </w:p>
    <w:p>
      <w:r>
        <w:t>Remplacement de 640 m de conduite d'aqueduc et de 610 m d'égout sanitaire, rue des Érables. Dépôt le 20 octobre 2026 à 11 h. Plus bas soumissionnaire conforme. Garanties d'exécution et de paiement de 50 % chacune.</w:t>
      </w:r>
    </w:p>
    <w:p>
      <w:r>
        <w:rPr>
          <w:b/>
        </w:rPr>
        <w:t xml:space="preserve">Portée des travaux : </w:t>
      </w:r>
      <w:r>
        <w:t>Remplacement des conduites d'aqueduc (640 m, 200 mm) et d'égout sanitaire (610 m, 250 mm) de la rue des Érables.</w:t>
      </w:r>
    </w:p>
    <w:p>
      <w:r>
        <w:rPr>
          <w:b/>
        </w:rPr>
        <w:t xml:space="preserve">Lieu : </w:t>
      </w:r>
      <w:r>
        <w:t>Rue des Érables, Mont-Aurèle</w:t>
      </w:r>
    </w:p>
    <w:p>
      <w:pPr>
        <w:pStyle w:val="Heading1"/>
      </w:pPr>
      <w:r>
        <w:t>Réponse aux critères d'évaluation</w:t>
      </w:r>
    </w:p>
    <w:p>
      <w:r>
        <w:rPr>
          <w:b/>
        </w:rPr>
        <w:t xml:space="preserve">Mode d'adjudication : </w:t>
      </w:r>
      <w:r>
        <w:t>Prix le plus bas conforme</w:t>
      </w:r>
    </w:p>
    <w:p>
      <w:r>
        <w:rPr>
          <w:b/>
        </w:rPr>
        <w:t xml:space="preserve">Formule : </w:t>
      </w:r>
      <w:r>
        <w:t>Plus bas soumissionnaire conforme</w:t>
      </w:r>
      <w:r>
        <w:rPr>
          <w:color w:val="5B6570"/>
          <w:sz w:val="18"/>
        </w:rPr>
        <w:t xml:space="preserve"> (MA-2026-041 - Cahier des ch…, p. 6)</w:t>
      </w:r>
    </w:p>
    <w:p>
      <w:r>
        <w:t>Aucun critère qualitatif relevé dans le document.</w:t>
      </w:r>
    </w:p>
    <w:p>
      <w:pPr>
        <w:pStyle w:val="Heading1"/>
      </w:pPr>
      <w:r>
        <w:t>Documents requis</w:t>
      </w:r>
    </w:p>
    <w:tbl>
      <w:tblPr>
        <w:tblW w:type="dxa" w:w="9972"/>
        <w:jc w:val="left"/>
        <w:tblBorders>
          <w:top w:val="single" w:sz="4" w:space="0" w:color="D5DAE0"/>
          <w:left w:val="nil"/>
          <w:bottom w:val="single" w:sz="4" w:space="0" w:color="D5DAE0"/>
          <w:right w:val="nil"/>
          <w:insideH w:val="single" w:sz="4" w:space="0" w:color="D5DAE0"/>
          <w:insideV w:val="nil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firstColumn="1" w:firstRow="1" w:lastColumn="0" w:lastRow="0" w:noHBand="0" w:noVBand="1" w:val="04A0"/>
      </w:tblPr>
      <w:tblGrid>
        <w:gridCol w:w="624"/>
        <w:gridCol w:w="5550"/>
        <w:gridCol w:w="1417"/>
        <w:gridCol w:w="2381"/>
      </w:tblGrid>
      <w:tr>
        <w:trPr>
          <w:cantSplit/>
          <w:tblHeader/>
        </w:trPr>
        <w:tc>
          <w:tcPr>
            <w:tcW w:type="dxa" w:w="624"/>
            <w:shd w:val="clear" w:color="auto" w:fill="F2F4F6"/>
          </w:tcPr>
          <w:p>
            <w:pPr>
              <w:pStyle w:val="TableauEntete"/>
            </w:pPr>
            <w:r>
              <w:t>Fait</w:t>
            </w:r>
          </w:p>
        </w:tc>
        <w:tc>
          <w:tcPr>
            <w:tcW w:type="dxa" w:w="5550"/>
            <w:shd w:val="clear" w:color="auto" w:fill="F2F4F6"/>
          </w:tcPr>
          <w:p>
            <w:pPr>
              <w:pStyle w:val="TableauEntete"/>
            </w:pPr>
            <w:r>
              <w:t>Document</w:t>
            </w:r>
          </w:p>
        </w:tc>
        <w:tc>
          <w:tcPr>
            <w:tcW w:type="dxa" w:w="1417"/>
            <w:shd w:val="clear" w:color="auto" w:fill="F2F4F6"/>
          </w:tcPr>
          <w:p>
            <w:pPr>
              <w:pStyle w:val="TableauEntete"/>
            </w:pPr>
            <w:r>
              <w:t>Statut</w:t>
            </w:r>
          </w:p>
        </w:tc>
        <w:tc>
          <w:tcPr>
            <w:tcW w:type="dxa" w:w="2381"/>
            <w:shd w:val="clear" w:color="auto" w:fill="F2F4F6"/>
          </w:tcPr>
          <w:p>
            <w:pPr>
              <w:pStyle w:val="TableauEntete"/>
            </w:pPr>
            <w:r>
              <w:t>Réf.</w:t>
            </w:r>
          </w:p>
        </w:tc>
      </w:tr>
      <w:tr>
        <w:trPr>
          <w:cantSplit/>
        </w:trPr>
        <w:tc>
          <w:tcPr>
            <w:tcW w:type="dxa" w:w="624"/>
            <w:vAlign w:val="top"/>
          </w:tcPr>
          <w:p>
            <w:pPr>
              <w:pStyle w:val="Tableau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5550"/>
            <w:vAlign w:val="top"/>
          </w:tcPr>
          <w:p>
            <w:pPr>
              <w:pStyle w:val="Tableau"/>
            </w:pPr>
            <w:r>
              <w:t>Formulaire de soumission signé</w:t>
            </w:r>
          </w:p>
        </w:tc>
        <w:tc>
          <w:tcPr>
            <w:tcW w:type="dxa" w:w="1417"/>
            <w:vAlign w:val="top"/>
          </w:tcPr>
          <w:p>
            <w:pPr>
              <w:pStyle w:val="Tableau"/>
            </w:pPr>
            <w:r>
              <w:t>Obligatoire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Cahier des ch…, p. 5</w:t>
            </w:r>
          </w:p>
        </w:tc>
      </w:tr>
      <w:tr>
        <w:trPr>
          <w:cantSplit/>
        </w:trPr>
        <w:tc>
          <w:tcPr>
            <w:tcW w:type="dxa" w:w="624"/>
            <w:vAlign w:val="top"/>
          </w:tcPr>
          <w:p>
            <w:pPr>
              <w:pStyle w:val="Tableau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5550"/>
            <w:vAlign w:val="top"/>
          </w:tcPr>
          <w:p>
            <w:pPr>
              <w:pStyle w:val="Tableau"/>
            </w:pPr>
            <w:r>
              <w:t>Résolution autorisant le signataire</w:t>
            </w:r>
          </w:p>
        </w:tc>
        <w:tc>
          <w:tcPr>
            <w:tcW w:type="dxa" w:w="1417"/>
            <w:vAlign w:val="top"/>
          </w:tcPr>
          <w:p>
            <w:pPr>
              <w:pStyle w:val="Tableau"/>
            </w:pPr>
            <w:r>
              <w:t>Obligatoire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Cahier des ch…, p. 5</w:t>
            </w:r>
          </w:p>
        </w:tc>
      </w:tr>
      <w:tr>
        <w:trPr>
          <w:cantSplit/>
        </w:trPr>
        <w:tc>
          <w:tcPr>
            <w:tcW w:type="dxa" w:w="624"/>
            <w:vAlign w:val="top"/>
          </w:tcPr>
          <w:p>
            <w:pPr>
              <w:pStyle w:val="Tableau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5550"/>
            <w:vAlign w:val="top"/>
          </w:tcPr>
          <w:p>
            <w:pPr>
              <w:pStyle w:val="Tableau"/>
            </w:pPr>
            <w:r>
              <w:t>Attestation de Revenu Québec</w:t>
            </w:r>
          </w:p>
        </w:tc>
        <w:tc>
          <w:tcPr>
            <w:tcW w:type="dxa" w:w="1417"/>
            <w:vAlign w:val="top"/>
          </w:tcPr>
          <w:p>
            <w:pPr>
              <w:pStyle w:val="Tableau"/>
            </w:pPr>
            <w:r>
              <w:t>Obligatoire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Cahier des ch…, p. 5</w:t>
            </w:r>
          </w:p>
        </w:tc>
      </w:tr>
      <w:tr>
        <w:trPr>
          <w:cantSplit/>
        </w:trPr>
        <w:tc>
          <w:tcPr>
            <w:tcW w:type="dxa" w:w="624"/>
            <w:vAlign w:val="top"/>
          </w:tcPr>
          <w:p>
            <w:pPr>
              <w:pStyle w:val="Tableau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5550"/>
            <w:vAlign w:val="top"/>
          </w:tcPr>
          <w:p>
            <w:pPr>
              <w:pStyle w:val="Tableau"/>
            </w:pPr>
            <w:r>
              <w:t>Bordereau des quantités</w:t>
            </w:r>
          </w:p>
        </w:tc>
        <w:tc>
          <w:tcPr>
            <w:tcW w:type="dxa" w:w="1417"/>
            <w:vAlign w:val="top"/>
          </w:tcPr>
          <w:p>
            <w:pPr>
              <w:pStyle w:val="Tableau"/>
            </w:pPr>
            <w:r>
              <w:t>Obligatoire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Cahier des ch…, p. 5</w:t>
            </w:r>
          </w:p>
        </w:tc>
      </w:tr>
      <w:tr>
        <w:trPr>
          <w:cantSplit/>
        </w:trPr>
        <w:tc>
          <w:tcPr>
            <w:tcW w:type="dxa" w:w="624"/>
            <w:vAlign w:val="top"/>
          </w:tcPr>
          <w:p>
            <w:pPr>
              <w:pStyle w:val="Tableau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5550"/>
            <w:vAlign w:val="top"/>
          </w:tcPr>
          <w:p>
            <w:pPr>
              <w:pStyle w:val="Tableau"/>
            </w:pPr>
            <w:r>
              <w:t>Lettre d'engagement de la caution</w:t>
            </w:r>
          </w:p>
        </w:tc>
        <w:tc>
          <w:tcPr>
            <w:tcW w:type="dxa" w:w="1417"/>
            <w:vAlign w:val="top"/>
          </w:tcPr>
          <w:p>
            <w:pPr>
              <w:pStyle w:val="Tableau"/>
            </w:pPr>
            <w:r>
              <w:t>Obligatoire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Cahier des ch…, p. 5</w:t>
            </w:r>
          </w:p>
        </w:tc>
      </w:tr>
      <w:tr>
        <w:trPr>
          <w:cantSplit/>
        </w:trPr>
        <w:tc>
          <w:tcPr>
            <w:tcW w:type="dxa" w:w="624"/>
            <w:vAlign w:val="top"/>
          </w:tcPr>
          <w:p>
            <w:pPr>
              <w:pStyle w:val="Tableau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5550"/>
            <w:vAlign w:val="top"/>
          </w:tcPr>
          <w:p>
            <w:pPr>
              <w:pStyle w:val="Tableau"/>
            </w:pPr>
            <w:r>
              <w:t>Programme de maintien de la circulation</w:t>
            </w:r>
          </w:p>
        </w:tc>
        <w:tc>
          <w:tcPr>
            <w:tcW w:type="dxa" w:w="1417"/>
            <w:vAlign w:val="top"/>
          </w:tcPr>
          <w:p>
            <w:pPr>
              <w:pStyle w:val="Tableau"/>
            </w:pPr>
            <w:r>
              <w:t>Obligatoire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Addenda no 1, p. 2</w:t>
            </w:r>
          </w:p>
        </w:tc>
      </w:tr>
    </w:tbl>
    <w:p>
      <w:pPr>
        <w:spacing w:after="0" w:line="160" w:lineRule="exact"/>
      </w:pPr>
    </w:p>
    <w:p>
      <w:pPr>
        <w:pStyle w:val="Heading1"/>
      </w:pPr>
      <w:r>
        <w:t>Garanties et assurances exigées</w:t>
      </w:r>
    </w:p>
    <w:tbl>
      <w:tblPr>
        <w:tblW w:type="dxa" w:w="9972"/>
        <w:jc w:val="left"/>
        <w:tblBorders>
          <w:top w:val="single" w:sz="4" w:space="0" w:color="D5DAE0"/>
          <w:left w:val="nil"/>
          <w:bottom w:val="single" w:sz="4" w:space="0" w:color="D5DAE0"/>
          <w:right w:val="nil"/>
          <w:insideH w:val="single" w:sz="4" w:space="0" w:color="D5DAE0"/>
          <w:insideV w:val="nil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firstColumn="1" w:firstRow="1" w:lastColumn="0" w:lastRow="0" w:noHBand="0" w:noVBand="1" w:val="04A0"/>
      </w:tblPr>
      <w:tblGrid>
        <w:gridCol w:w="2948"/>
        <w:gridCol w:w="4643"/>
        <w:gridCol w:w="2381"/>
      </w:tblGrid>
      <w:tr>
        <w:trPr>
          <w:cantSplit/>
          <w:tblHeader/>
        </w:trPr>
        <w:tc>
          <w:tcPr>
            <w:tcW w:type="dxa" w:w="2948"/>
            <w:shd w:val="clear" w:color="auto" w:fill="F2F4F6"/>
          </w:tcPr>
          <w:p>
            <w:pPr>
              <w:pStyle w:val="TableauEntete"/>
            </w:pPr>
            <w:r>
              <w:t>Exigence</w:t>
            </w:r>
          </w:p>
        </w:tc>
        <w:tc>
          <w:tcPr>
            <w:tcW w:type="dxa" w:w="4643"/>
            <w:shd w:val="clear" w:color="auto" w:fill="F2F4F6"/>
          </w:tcPr>
          <w:p>
            <w:pPr>
              <w:pStyle w:val="TableauEntete"/>
            </w:pPr>
            <w:r>
              <w:t>Détail</w:t>
            </w:r>
          </w:p>
        </w:tc>
        <w:tc>
          <w:tcPr>
            <w:tcW w:type="dxa" w:w="2381"/>
            <w:shd w:val="clear" w:color="auto" w:fill="F2F4F6"/>
          </w:tcPr>
          <w:p>
            <w:pPr>
              <w:pStyle w:val="TableauEntete"/>
            </w:pPr>
            <w:r>
              <w:t>Réf.</w:t>
            </w:r>
          </w:p>
        </w:tc>
      </w:tr>
      <w:tr>
        <w:trPr>
          <w:cantSplit/>
        </w:trPr>
        <w:tc>
          <w:tcPr>
            <w:tcW w:type="dxa" w:w="2948"/>
            <w:vAlign w:val="top"/>
          </w:tcPr>
          <w:p>
            <w:pPr>
              <w:pStyle w:val="Tableau"/>
            </w:pPr>
            <w:r>
              <w:t>Garantie de soumission — 5 % du prix</w:t>
            </w:r>
          </w:p>
        </w:tc>
        <w:tc>
          <w:tcPr>
            <w:tcW w:type="dxa" w:w="4643"/>
            <w:vAlign w:val="top"/>
          </w:tcPr>
          <w:p>
            <w:pPr>
              <w:pStyle w:val="Tableau"/>
            </w:pPr>
            <w:r>
              <w:t>Garantie de soumission de 5 % du prix soumis</w:t>
            </w:r>
            <w:r>
              <w:br/>
            </w:r>
            <w:r>
              <w:rPr>
                <w:color w:val="3A424C"/>
                <w:sz w:val="18"/>
              </w:rPr>
              <w:t>Forme : cautionnement ou chèque visé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Addenda no 1, p. 2</w:t>
            </w:r>
          </w:p>
        </w:tc>
      </w:tr>
      <w:tr>
        <w:trPr>
          <w:cantSplit/>
        </w:trPr>
        <w:tc>
          <w:tcPr>
            <w:tcW w:type="dxa" w:w="2948"/>
            <w:vAlign w:val="top"/>
          </w:tcPr>
          <w:p>
            <w:pPr>
              <w:pStyle w:val="Tableau"/>
            </w:pPr>
            <w:r>
              <w:t>Garantie d'exécution — 50 % du prix</w:t>
            </w:r>
          </w:p>
        </w:tc>
        <w:tc>
          <w:tcPr>
            <w:tcW w:type="dxa" w:w="4643"/>
            <w:vAlign w:val="top"/>
          </w:tcPr>
          <w:p>
            <w:pPr>
              <w:pStyle w:val="Tableau"/>
            </w:pPr>
            <w:r>
              <w:t>Garantie d'exécution de 50 %</w:t>
            </w:r>
            <w:r>
              <w:br/>
            </w:r>
            <w:r>
              <w:rPr>
                <w:color w:val="3A424C"/>
                <w:sz w:val="18"/>
              </w:rPr>
              <w:t>Forme : cautionnement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Cahier des ch…, p. 3</w:t>
            </w:r>
          </w:p>
        </w:tc>
      </w:tr>
      <w:tr>
        <w:trPr>
          <w:cantSplit/>
        </w:trPr>
        <w:tc>
          <w:tcPr>
            <w:tcW w:type="dxa" w:w="2948"/>
            <w:vAlign w:val="top"/>
          </w:tcPr>
          <w:p>
            <w:pPr>
              <w:pStyle w:val="Tableau"/>
            </w:pPr>
            <w:r>
              <w:t>Garantie des obligations pour gages, matériaux et services — 50 % du prix</w:t>
            </w:r>
          </w:p>
        </w:tc>
        <w:tc>
          <w:tcPr>
            <w:tcW w:type="dxa" w:w="4643"/>
            <w:vAlign w:val="top"/>
          </w:tcPr>
          <w:p>
            <w:pPr>
              <w:pStyle w:val="Tableau"/>
            </w:pPr>
            <w:r>
              <w:t>Garantie des obligations pour gages, matériaux et services de 50 %</w:t>
            </w:r>
            <w:r>
              <w:br/>
            </w:r>
            <w:r>
              <w:rPr>
                <w:color w:val="3A424C"/>
                <w:sz w:val="18"/>
              </w:rPr>
              <w:t>Forme : cautionnement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Cahier des ch…, p. 3</w:t>
            </w:r>
          </w:p>
        </w:tc>
      </w:tr>
      <w:tr>
        <w:trPr>
          <w:cantSplit/>
        </w:trPr>
        <w:tc>
          <w:tcPr>
            <w:tcW w:type="dxa" w:w="2948"/>
            <w:vAlign w:val="top"/>
          </w:tcPr>
          <w:p>
            <w:pPr>
              <w:pStyle w:val="Tableau"/>
            </w:pPr>
            <w:r>
              <w:t>Responsabilité civile — 10 000 000 $</w:t>
            </w:r>
          </w:p>
        </w:tc>
        <w:tc>
          <w:tcPr>
            <w:tcW w:type="dxa" w:w="4643"/>
            <w:vAlign w:val="top"/>
          </w:tcPr>
          <w:p>
            <w:pPr>
              <w:pStyle w:val="Tableau"/>
            </w:pPr>
            <w:r>
              <w:t>Responsabilité civile, 10 000 000 $ par événement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Addenda no 1, p. 2</w:t>
            </w:r>
          </w:p>
        </w:tc>
      </w:tr>
    </w:tbl>
    <w:p>
      <w:pPr>
        <w:spacing w:after="0" w:line="160" w:lineRule="exact"/>
      </w:pPr>
    </w:p>
    <w:p>
      <w:pPr>
        <w:pStyle w:val="Heading2"/>
      </w:pPr>
      <w:r>
        <w:t>Vos assurances au dossier</w:t>
      </w:r>
    </w:p>
    <w:tbl>
      <w:tblPr>
        <w:tblW w:type="dxa" w:w="9972"/>
        <w:jc w:val="left"/>
        <w:tblBorders>
          <w:top w:val="single" w:sz="4" w:space="0" w:color="D5DAE0"/>
          <w:left w:val="nil"/>
          <w:bottom w:val="single" w:sz="4" w:space="0" w:color="D5DAE0"/>
          <w:right w:val="nil"/>
          <w:insideH w:val="single" w:sz="4" w:space="0" w:color="D5DAE0"/>
          <w:insideV w:val="nil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firstColumn="1" w:firstRow="1" w:lastColumn="0" w:lastRow="0" w:noHBand="0" w:noVBand="1" w:val="04A0"/>
      </w:tblPr>
      <w:tblGrid>
        <w:gridCol w:w="2098"/>
        <w:gridCol w:w="2041"/>
        <w:gridCol w:w="1644"/>
        <w:gridCol w:w="1814"/>
        <w:gridCol w:w="2375"/>
      </w:tblGrid>
      <w:tr>
        <w:trPr>
          <w:cantSplit/>
          <w:tblHeader/>
        </w:trPr>
        <w:tc>
          <w:tcPr>
            <w:tcW w:type="dxa" w:w="2098"/>
            <w:shd w:val="clear" w:color="auto" w:fill="F2F4F6"/>
          </w:tcPr>
          <w:p>
            <w:pPr>
              <w:pStyle w:val="TableauEntete"/>
            </w:pPr>
            <w:r>
              <w:t>Type</w:t>
            </w:r>
          </w:p>
        </w:tc>
        <w:tc>
          <w:tcPr>
            <w:tcW w:type="dxa" w:w="2041"/>
            <w:shd w:val="clear" w:color="auto" w:fill="F2F4F6"/>
          </w:tcPr>
          <w:p>
            <w:pPr>
              <w:pStyle w:val="TableauEntete"/>
            </w:pPr>
            <w:r>
              <w:t>Assureur</w:t>
            </w:r>
          </w:p>
        </w:tc>
        <w:tc>
          <w:tcPr>
            <w:tcW w:type="dxa" w:w="1644"/>
            <w:shd w:val="clear" w:color="auto" w:fill="F2F4F6"/>
          </w:tcPr>
          <w:p>
            <w:pPr>
              <w:pStyle w:val="TableauEntete"/>
            </w:pPr>
            <w:r>
              <w:t>Police</w:t>
            </w:r>
          </w:p>
        </w:tc>
        <w:tc>
          <w:tcPr>
            <w:tcW w:type="dxa" w:w="1814"/>
            <w:shd w:val="clear" w:color="auto" w:fill="F2F4F6"/>
          </w:tcPr>
          <w:p>
            <w:pPr>
              <w:pStyle w:val="TableauEntete"/>
            </w:pPr>
            <w:r>
              <w:t>Montant</w:t>
            </w:r>
          </w:p>
        </w:tc>
        <w:tc>
          <w:tcPr>
            <w:tcW w:type="dxa" w:w="2375"/>
            <w:shd w:val="clear" w:color="auto" w:fill="F2F4F6"/>
          </w:tcPr>
          <w:p>
            <w:pPr>
              <w:pStyle w:val="TableauEntete"/>
            </w:pPr>
            <w:r>
              <w:t>Échéance</w:t>
            </w:r>
          </w:p>
        </w:tc>
      </w:tr>
      <w:tr>
        <w:trPr>
          <w:cantSplit/>
        </w:trPr>
        <w:tc>
          <w:tcPr>
            <w:tcW w:type="dxa" w:w="2098"/>
            <w:vAlign w:val="top"/>
          </w:tcPr>
          <w:p>
            <w:pPr>
              <w:pStyle w:val="Tableau"/>
            </w:pPr>
            <w:r>
              <w:t>Responsabilité civile</w:t>
            </w:r>
          </w:p>
        </w:tc>
        <w:tc>
          <w:tcPr>
            <w:tcW w:type="dxa" w:w="2041"/>
            <w:vAlign w:val="top"/>
          </w:tcPr>
          <w:p>
            <w:pPr>
              <w:pStyle w:val="Tableau"/>
            </w:pPr>
            <w:r>
              <w:rPr>
                <w:highlight w:val="yellow"/>
              </w:rPr>
              <w:t>[À compléter]</w:t>
            </w:r>
          </w:p>
        </w:tc>
        <w:tc>
          <w:tcPr>
            <w:tcW w:type="dxa" w:w="1644"/>
            <w:vAlign w:val="top"/>
          </w:tcPr>
          <w:p>
            <w:pPr>
              <w:pStyle w:val="Tableau"/>
            </w:pPr>
            <w:r>
              <w:rPr>
                <w:highlight w:val="yellow"/>
              </w:rPr>
              <w:t>[À compléter]</w:t>
            </w:r>
          </w:p>
        </w:tc>
        <w:tc>
          <w:tcPr>
            <w:tcW w:type="dxa" w:w="1814"/>
            <w:vAlign w:val="top"/>
          </w:tcPr>
          <w:p>
            <w:pPr>
              <w:pStyle w:val="Tableau"/>
            </w:pPr>
            <w:r>
              <w:t>5 000 000 $</w:t>
            </w:r>
          </w:p>
        </w:tc>
        <w:tc>
          <w:tcPr>
            <w:tcW w:type="dxa" w:w="2375"/>
            <w:vAlign w:val="top"/>
          </w:tcPr>
          <w:p>
            <w:pPr>
              <w:pStyle w:val="Tableau"/>
            </w:pPr>
            <w:r>
              <w:t>30 avril 2027</w:t>
            </w:r>
          </w:p>
        </w:tc>
      </w:tr>
    </w:tbl>
    <w:p>
      <w:pPr>
        <w:spacing w:after="0" w:line="160" w:lineRule="exact"/>
      </w:pPr>
    </w:p>
    <w:p>
      <w:pPr>
        <w:pStyle w:val="Heading1"/>
      </w:pPr>
      <w:r>
        <w:t>Attestations et certifications au dossier</w:t>
      </w:r>
    </w:p>
    <w:tbl>
      <w:tblPr>
        <w:tblW w:type="dxa" w:w="9972"/>
        <w:jc w:val="left"/>
        <w:tblBorders>
          <w:top w:val="single" w:sz="4" w:space="0" w:color="D5DAE0"/>
          <w:left w:val="nil"/>
          <w:bottom w:val="single" w:sz="4" w:space="0" w:color="D5DAE0"/>
          <w:right w:val="nil"/>
          <w:insideH w:val="single" w:sz="4" w:space="0" w:color="D5DAE0"/>
          <w:insideV w:val="nil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firstColumn="1" w:firstRow="1" w:lastColumn="0" w:lastRow="0" w:noHBand="0" w:noVBand="1" w:val="04A0"/>
      </w:tblPr>
      <w:tblGrid>
        <w:gridCol w:w="4535"/>
        <w:gridCol w:w="2494"/>
        <w:gridCol w:w="2942"/>
      </w:tblGrid>
      <w:tr>
        <w:trPr>
          <w:cantSplit/>
          <w:tblHeader/>
        </w:trPr>
        <w:tc>
          <w:tcPr>
            <w:tcW w:type="dxa" w:w="4535"/>
            <w:shd w:val="clear" w:color="auto" w:fill="F2F4F6"/>
          </w:tcPr>
          <w:p>
            <w:pPr>
              <w:pStyle w:val="TableauEntete"/>
            </w:pPr>
            <w:r>
              <w:t>Document</w:t>
            </w:r>
          </w:p>
        </w:tc>
        <w:tc>
          <w:tcPr>
            <w:tcW w:type="dxa" w:w="2494"/>
            <w:shd w:val="clear" w:color="auto" w:fill="F2F4F6"/>
          </w:tcPr>
          <w:p>
            <w:pPr>
              <w:pStyle w:val="TableauEntete"/>
            </w:pPr>
            <w:r>
              <w:t>Numéro</w:t>
            </w:r>
          </w:p>
        </w:tc>
        <w:tc>
          <w:tcPr>
            <w:tcW w:type="dxa" w:w="2942"/>
            <w:shd w:val="clear" w:color="auto" w:fill="F2F4F6"/>
          </w:tcPr>
          <w:p>
            <w:pPr>
              <w:pStyle w:val="TableauEntete"/>
            </w:pPr>
            <w:r>
              <w:t>Échéance</w:t>
            </w:r>
          </w:p>
        </w:tc>
      </w:tr>
      <w:tr>
        <w:trPr>
          <w:cantSplit/>
        </w:trPr>
        <w:tc>
          <w:tcPr>
            <w:tcW w:type="dxa" w:w="4535"/>
            <w:vAlign w:val="top"/>
          </w:tcPr>
          <w:p>
            <w:pPr>
              <w:pStyle w:val="Tableau"/>
            </w:pPr>
            <w:r>
              <w:t>Autorisation de l'AMP</w:t>
            </w:r>
          </w:p>
        </w:tc>
        <w:tc>
          <w:tcPr>
            <w:tcW w:type="dxa" w:w="2494"/>
            <w:vAlign w:val="top"/>
          </w:tcPr>
          <w:p>
            <w:pPr>
              <w:pStyle w:val="Tableau"/>
            </w:pPr>
            <w:r>
              <w:t>3000123456</w:t>
            </w:r>
          </w:p>
        </w:tc>
        <w:tc>
          <w:tcPr>
            <w:tcW w:type="dxa" w:w="2942"/>
            <w:vAlign w:val="top"/>
          </w:tcPr>
          <w:p>
            <w:pPr>
              <w:pStyle w:val="Tableau"/>
            </w:pPr>
            <w:r>
              <w:t>31 août 2027</w:t>
            </w:r>
          </w:p>
        </w:tc>
      </w:tr>
      <w:tr>
        <w:trPr>
          <w:cantSplit/>
        </w:trPr>
        <w:tc>
          <w:tcPr>
            <w:tcW w:type="dxa" w:w="4535"/>
            <w:vAlign w:val="top"/>
          </w:tcPr>
          <w:p>
            <w:pPr>
              <w:pStyle w:val="Tableau"/>
            </w:pPr>
            <w:r>
              <w:t>Attestation de Revenu Québec</w:t>
            </w:r>
          </w:p>
        </w:tc>
        <w:tc>
          <w:tcPr>
            <w:tcW w:type="dxa" w:w="2494"/>
            <w:vAlign w:val="top"/>
          </w:tcPr>
          <w:p>
            <w:pPr>
              <w:pStyle w:val="Tableau"/>
            </w:pPr>
            <w:r>
              <w:t>AR-2026-0412</w:t>
            </w:r>
          </w:p>
        </w:tc>
        <w:tc>
          <w:tcPr>
            <w:tcW w:type="dxa" w:w="2942"/>
            <w:vAlign w:val="top"/>
          </w:tcPr>
          <w:p>
            <w:pPr>
              <w:pStyle w:val="Tableau"/>
            </w:pPr>
            <w:r>
              <w:t>31 décembre 2026</w:t>
            </w:r>
          </w:p>
        </w:tc>
      </w:tr>
      <w:tr>
        <w:trPr>
          <w:cantSplit/>
        </w:trPr>
        <w:tc>
          <w:tcPr>
            <w:tcW w:type="dxa" w:w="4535"/>
            <w:vAlign w:val="top"/>
          </w:tcPr>
          <w:p>
            <w:pPr>
              <w:pStyle w:val="Tableau"/>
            </w:pPr>
            <w:r>
              <w:t>Attestation de la CNESST</w:t>
            </w:r>
          </w:p>
        </w:tc>
        <w:tc>
          <w:tcPr>
            <w:tcW w:type="dxa" w:w="2494"/>
            <w:vAlign w:val="top"/>
          </w:tcPr>
          <w:p>
            <w:pPr>
              <w:pStyle w:val="Tableau"/>
            </w:pPr>
            <w:r>
              <w:rPr>
                <w:highlight w:val="yellow"/>
              </w:rPr>
              <w:t>[À compléter]</w:t>
            </w:r>
          </w:p>
        </w:tc>
        <w:tc>
          <w:tcPr>
            <w:tcW w:type="dxa" w:w="2942"/>
            <w:vAlign w:val="top"/>
          </w:tcPr>
          <w:p>
            <w:pPr>
              <w:pStyle w:val="Tableau"/>
            </w:pPr>
            <w:r>
              <w:t>31 décembre 2026</w:t>
            </w:r>
          </w:p>
        </w:tc>
      </w:tr>
    </w:tbl>
    <w:p>
      <w:pPr>
        <w:spacing w:after="0" w:line="160" w:lineRule="exact"/>
      </w:pPr>
    </w:p>
    <w:p>
      <w:pPr>
        <w:pStyle w:val="Heading1"/>
      </w:pPr>
      <w:r>
        <w:t>Échéancier</w:t>
      </w:r>
    </w:p>
    <w:tbl>
      <w:tblPr>
        <w:tblW w:type="dxa" w:w="9972"/>
        <w:jc w:val="left"/>
        <w:tblBorders>
          <w:top w:val="single" w:sz="4" w:space="0" w:color="D5DAE0"/>
          <w:left w:val="nil"/>
          <w:bottom w:val="single" w:sz="4" w:space="0" w:color="D5DAE0"/>
          <w:right w:val="nil"/>
          <w:insideH w:val="single" w:sz="4" w:space="0" w:color="D5DAE0"/>
          <w:insideV w:val="nil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firstColumn="1" w:firstRow="1" w:lastColumn="0" w:lastRow="0" w:noHBand="0" w:noVBand="1" w:val="04A0"/>
      </w:tblPr>
      <w:tblGrid>
        <w:gridCol w:w="4757"/>
        <w:gridCol w:w="2835"/>
        <w:gridCol w:w="2381"/>
      </w:tblGrid>
      <w:tr>
        <w:trPr>
          <w:cantSplit/>
          <w:tblHeader/>
        </w:trPr>
        <w:tc>
          <w:tcPr>
            <w:tcW w:type="dxa" w:w="4757"/>
            <w:shd w:val="clear" w:color="auto" w:fill="F2F4F6"/>
          </w:tcPr>
          <w:p>
            <w:pPr>
              <w:pStyle w:val="TableauEntete"/>
            </w:pPr>
            <w:r>
              <w:t>Étape</w:t>
            </w:r>
          </w:p>
        </w:tc>
        <w:tc>
          <w:tcPr>
            <w:tcW w:type="dxa" w:w="2835"/>
            <w:shd w:val="clear" w:color="auto" w:fill="F2F4F6"/>
          </w:tcPr>
          <w:p>
            <w:pPr>
              <w:pStyle w:val="TableauEntete"/>
            </w:pPr>
            <w:r>
              <w:t>Date</w:t>
            </w:r>
          </w:p>
        </w:tc>
        <w:tc>
          <w:tcPr>
            <w:tcW w:type="dxa" w:w="2381"/>
            <w:shd w:val="clear" w:color="auto" w:fill="F2F4F6"/>
          </w:tcPr>
          <w:p>
            <w:pPr>
              <w:pStyle w:val="TableauEntete"/>
            </w:pPr>
            <w:r>
              <w:t>Réf.</w:t>
            </w:r>
          </w:p>
        </w:tc>
      </w:tr>
      <w:tr>
        <w:trPr>
          <w:cantSplit/>
        </w:trPr>
        <w:tc>
          <w:tcPr>
            <w:tcW w:type="dxa" w:w="4757"/>
            <w:vAlign w:val="top"/>
          </w:tcPr>
          <w:p>
            <w:pPr>
              <w:pStyle w:val="Tableau"/>
            </w:pPr>
            <w:r>
              <w:t>Visite des lieux (obligatoire) (obligatoire)</w:t>
            </w:r>
          </w:p>
        </w:tc>
        <w:tc>
          <w:tcPr>
            <w:tcW w:type="dxa" w:w="2835"/>
            <w:vAlign w:val="top"/>
          </w:tcPr>
          <w:p>
            <w:pPr>
              <w:pStyle w:val="Tableau"/>
            </w:pPr>
            <w:r>
              <w:t>15 octobre 2026 à 9 h 30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Addenda no 1, p. 1</w:t>
            </w:r>
          </w:p>
        </w:tc>
      </w:tr>
      <w:tr>
        <w:trPr>
          <w:cantSplit/>
        </w:trPr>
        <w:tc>
          <w:tcPr>
            <w:tcW w:type="dxa" w:w="4757"/>
            <w:vAlign w:val="top"/>
          </w:tcPr>
          <w:p>
            <w:pPr>
              <w:pStyle w:val="Tableau"/>
            </w:pPr>
            <w:r>
              <w:t>Date limite des questions</w:t>
            </w:r>
          </w:p>
        </w:tc>
        <w:tc>
          <w:tcPr>
            <w:tcW w:type="dxa" w:w="2835"/>
            <w:vAlign w:val="top"/>
          </w:tcPr>
          <w:p>
            <w:pPr>
              <w:pStyle w:val="Tableau"/>
            </w:pPr>
            <w:r>
              <w:t>21 octobre 2026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Addenda no 1, p. 1</w:t>
            </w:r>
          </w:p>
        </w:tc>
      </w:tr>
      <w:tr>
        <w:trPr>
          <w:cantSplit/>
        </w:trPr>
        <w:tc>
          <w:tcPr>
            <w:tcW w:type="dxa" w:w="4757"/>
            <w:vAlign w:val="top"/>
          </w:tcPr>
          <w:p>
            <w:pPr>
              <w:pStyle w:val="Tableau"/>
            </w:pPr>
            <w:r>
              <w:t>Dépôt des soumissions</w:t>
            </w:r>
          </w:p>
        </w:tc>
        <w:tc>
          <w:tcPr>
            <w:tcW w:type="dxa" w:w="2835"/>
            <w:vAlign w:val="top"/>
          </w:tcPr>
          <w:p>
            <w:pPr>
              <w:pStyle w:val="Tableau"/>
            </w:pPr>
            <w:r>
              <w:t>27 octobre 2026 à 11 h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Addenda no 1, p. 1</w:t>
            </w:r>
          </w:p>
        </w:tc>
      </w:tr>
      <w:tr>
        <w:trPr>
          <w:cantSplit/>
        </w:trPr>
        <w:tc>
          <w:tcPr>
            <w:tcW w:type="dxa" w:w="4757"/>
            <w:vAlign w:val="top"/>
          </w:tcPr>
          <w:p>
            <w:pPr>
              <w:pStyle w:val="Tableau"/>
            </w:pPr>
            <w:r>
              <w:t>Ouverture publique</w:t>
            </w:r>
          </w:p>
        </w:tc>
        <w:tc>
          <w:tcPr>
            <w:tcW w:type="dxa" w:w="2835"/>
            <w:vAlign w:val="top"/>
          </w:tcPr>
          <w:p>
            <w:pPr>
              <w:pStyle w:val="Tableau"/>
            </w:pPr>
            <w:r>
              <w:t>27 octobre 2026 à 11 h 05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Addenda no 1, p. 1</w:t>
            </w:r>
          </w:p>
        </w:tc>
      </w:tr>
      <w:tr>
        <w:trPr>
          <w:cantSplit/>
        </w:trPr>
        <w:tc>
          <w:tcPr>
            <w:tcW w:type="dxa" w:w="4757"/>
            <w:vAlign w:val="top"/>
          </w:tcPr>
          <w:p>
            <w:pPr>
              <w:pStyle w:val="Tableau"/>
            </w:pPr>
            <w:r>
              <w:t>Début des travaux au plus tard</w:t>
            </w:r>
          </w:p>
        </w:tc>
        <w:tc>
          <w:tcPr>
            <w:tcW w:type="dxa" w:w="2835"/>
            <w:vAlign w:val="top"/>
          </w:tcPr>
          <w:p>
            <w:pPr>
              <w:pStyle w:val="Tableau"/>
            </w:pPr>
            <w:r>
              <w:t>3 mai 2027</w:t>
            </w:r>
          </w:p>
        </w:tc>
        <w:tc>
          <w:tcPr>
            <w:tcW w:type="dxa" w:w="2381"/>
            <w:vAlign w:val="top"/>
          </w:tcPr>
          <w:p>
            <w:pPr>
              <w:pStyle w:val="Tableau"/>
            </w:pPr>
            <w:r>
              <w:t>MA-2026-041 - Cahier des ch…, p. 4</w:t>
            </w:r>
          </w:p>
        </w:tc>
      </w:tr>
    </w:tbl>
    <w:p>
      <w:pPr>
        <w:spacing w:after="0" w:line="160" w:lineRule="exact"/>
      </w:pPr>
    </w:p>
    <w:p>
      <w:pPr>
        <w:pStyle w:val="Note"/>
      </w:pPr>
      <w:r>
        <w:t>Heures du Québec.</w:t>
      </w:r>
    </w:p>
    <w:p>
      <w:pPr>
        <w:pStyle w:val="Heading1"/>
      </w:pPr>
      <w:r>
        <w:t>Signature</w:t>
      </w:r>
    </w:p>
    <w:p>
      <w:pPr>
        <w:keepNext/>
        <w:spacing w:before="120" w:after="0"/>
      </w:pPr>
      <w:r>
        <w:t>Signé à ______________________________, le ______________________________</w:t>
      </w:r>
    </w:p>
    <w:p>
      <w:pPr>
        <w:keepNext/>
        <w:keepLines/>
        <w:spacing w:before="800" w:after="0"/>
      </w:pPr>
      <w:r>
        <w:t>______________________________________________</w:t>
      </w:r>
    </w:p>
    <w:p>
      <w:pPr>
        <w:keepNext/>
        <w:spacing w:before="40" w:after="0"/>
      </w:pPr>
      <w:r>
        <w:rPr>
          <w:b/>
        </w:rPr>
        <w:t>Mathieu Bérubé</w:t>
      </w:r>
    </w:p>
    <w:p>
      <w:pPr>
        <w:keepNext/>
        <w:spacing w:after="0"/>
      </w:pPr>
      <w:r>
        <w:t>Président</w:t>
      </w:r>
    </w:p>
    <w:p>
      <w:r>
        <w:t>Terrassement Hautes-Brumes inc.</w:t>
      </w:r>
    </w:p>
    <w:p>
      <w:pPr>
        <w:pStyle w:val="Heading1"/>
        <w:pageBreakBefore/>
      </w:pPr>
      <w:r>
        <w:rPr>
          <w:highlight w:val="yellow"/>
        </w:rPr>
        <w:t>Points à régler avant le dépôt (retirez cette page)</w:t>
      </w:r>
    </w:p>
    <w:p>
      <w:r>
        <w:rPr>
          <w:i/>
          <w:color w:val="3A424C"/>
        </w:rPr>
        <w:t>Cette page récapitule ce qui reste à vérifier ou à compléter. Elle ne fait pas partie de la proposition.</w:t>
      </w:r>
    </w:p>
    <w:p>
      <w:pPr>
        <w:pStyle w:val="Heading2"/>
      </w:pPr>
      <w:r>
        <w:t>Drapeaux rouges bloquants</w:t>
      </w:r>
    </w:p>
    <w:p>
      <w:pPr>
        <w:tabs>
          <w:tab w:pos="283" w:val="left"/>
        </w:tabs>
        <w:spacing w:after="60"/>
        <w:ind w:left="283" w:hanging="283"/>
      </w:pPr>
      <w:r>
        <w:rPr>
          <w:color w:val="B42318"/>
        </w:rPr>
        <w:t>–</w:t>
        <w:tab/>
      </w:r>
      <w:r>
        <w:rPr>
          <w:b/>
          <w:color w:val="B42318"/>
        </w:rPr>
        <w:t>Autorisation de l'AMP exigée</w:t>
      </w:r>
      <w:r>
        <w:t xml:space="preserve"> : </w:t>
      </w:r>
      <w:r>
        <w:t>Sans autorisation de contracter valide, la soumission est rejetée.</w:t>
      </w:r>
      <w:r>
        <w:rPr>
          <w:color w:val="5B6570"/>
          <w:sz w:val="18"/>
        </w:rPr>
        <w:t xml:space="preserve"> (MA-2026-041 - Cahier des ch…, p. 2)</w:t>
      </w:r>
    </w:p>
    <w:p>
      <w:pPr>
        <w:pStyle w:val="Heading2"/>
      </w:pPr>
      <w:r>
        <w:t>Exigences non satisfaites par votre dossier</w:t>
      </w:r>
    </w:p>
    <w:p>
      <w:pPr>
        <w:tabs>
          <w:tab w:pos="283" w:val="left"/>
        </w:tabs>
        <w:spacing w:after="60"/>
        <w:ind w:left="283" w:hanging="283"/>
      </w:pPr>
      <w:r>
        <w:rPr>
          <w:color w:val="B42318"/>
        </w:rPr>
        <w:t>–</w:t>
        <w:tab/>
      </w:r>
      <w:r>
        <w:rPr>
          <w:b/>
          <w:color w:val="B42318"/>
        </w:rPr>
        <w:t>Assurance responsabilité civile</w:t>
      </w:r>
      <w:r>
        <w:t xml:space="preserve"> : </w:t>
      </w:r>
      <w:r>
        <w:t>Exigé : 10 000 000 $ ; votre police : 5 000 000 $.</w:t>
      </w:r>
      <w:r>
        <w:rPr>
          <w:color w:val="5B6570"/>
          <w:sz w:val="18"/>
        </w:rPr>
        <w:t xml:space="preserve"> (p. 186)</w:t>
      </w:r>
    </w:p>
    <w:p>
      <w:pPr>
        <w:pStyle w:val="Heading2"/>
      </w:pPr>
      <w:r>
        <w:t>Champs à compléter</w:t>
      </w:r>
    </w:p>
    <w:p>
      <w:pPr>
        <w:tabs>
          <w:tab w:pos="283" w:val="left"/>
        </w:tabs>
        <w:spacing w:after="60"/>
        <w:ind w:left="283" w:hanging="283"/>
      </w:pPr>
      <w:r>
        <w:rPr>
          <w:color w:val="3A424C"/>
        </w:rPr>
        <w:t>–</w:t>
        <w:tab/>
      </w:r>
      <w:r>
        <w:t>5 champs entre crochets, surlignés en jaune.</w:t>
      </w:r>
    </w:p>
    <w:sectPr w:rsidR="00FC693F" w:rsidRPr="0006063C" w:rsidSect="00034616">
      <w:footerReference w:type="default" r:id="rId9"/>
      <w:pgSz w:w="12240" w:h="15840"/>
      <w:pgMar w:top="1134" w:right="1134" w:bottom="124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72" w:val="right"/>
      </w:tabs>
    </w:pPr>
    <w:r>
      <w:t>Proposition — MA-2026-041</w:t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9" w:lineRule="auto"/>
    </w:pPr>
    <w:rPr>
      <w:rFonts w:ascii="Calibri" w:hAnsi="Calibri" w:eastAsia="Calibri" w:cs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pBdr>
        <w:top w:val="single" w:sz="4" w:space="6" w:color="D5DAE0"/>
      </w:pBdr>
      <w:tabs>
        <w:tab w:pos="9972" w:val="right"/>
      </w:tabs>
      <w:spacing w:after="0" w:line="240" w:lineRule="auto"/>
    </w:pPr>
    <w:rPr>
      <w:color w:val="5B6570"/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6" w:space="4" w:color="D5DAE0"/>
      </w:pBdr>
      <w:spacing w:before="400" w:after="160"/>
      <w:outlineLvl w:val="0"/>
    </w:pPr>
    <w:rPr>
      <w:rFonts w:ascii="Calibri" w:hAnsi="Calibri" w:eastAsia="Calibri" w:cs="Calibri"/>
      <w:b/>
      <w:bCs/>
      <w:i w:val="0"/>
      <w:color w:val="11141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60"/>
      <w:outlineLvl w:val="1"/>
    </w:pPr>
    <w:rPr>
      <w:rFonts w:ascii="Calibri" w:hAnsi="Calibri" w:eastAsia="Calibri" w:cs="Calibri"/>
      <w:b/>
      <w:bCs/>
      <w:i w:val="0"/>
      <w:color w:val="11141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hAnsi="Calibri" w:eastAsia="Calibri" w:cs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hAnsi="Calibri" w:eastAsia="Calibri" w:cs="Calib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hAnsi="Calibri" w:eastAsia="Calibri" w:cs="Calib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hAnsi="Calibri" w:eastAsia="Calibri" w:cs="Calib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hAnsi="Calibri" w:eastAsia="Calibri" w:cs="Calib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hAnsi="Calibri" w:eastAsia="Calibri" w:cs="Calib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hAnsi="Calibri" w:eastAsia="Calibri" w:cs="Calib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Calibri" w:hAnsi="Calibri" w:eastAsia="Calibri" w:cs="Calibri"/>
      <w:b/>
      <w:bCs/>
      <w:color w:val="111418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Calibri" w:hAnsi="Calibri" w:eastAsia="Calibri" w:cs="Calibri"/>
      <w:b/>
      <w:bCs/>
      <w:color w:val="111418"/>
      <w:sz w:val="23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Calibri" w:hAnsi="Calibri" w:eastAsia="Calibri" w:cs="Calibr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920"/>
      <w:contextualSpacing/>
    </w:pPr>
    <w:rPr>
      <w:rFonts w:ascii="Calibri" w:hAnsi="Calibri" w:eastAsia="Calibri" w:cs="Calibri"/>
      <w:b/>
      <w:color w:val="11141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Calibri" w:hAnsi="Calibri" w:eastAsia="Calibri" w:cs="Calibri"/>
      <w:b/>
      <w:color w:val="111418"/>
      <w:sz w:val="5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Calibri" w:hAnsi="Calibri" w:eastAsia="Calibri" w:cs="Calibr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Calibri" w:hAnsi="Calibri" w:eastAsia="Calibri" w:cs="Calibr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 w:eastAsia="Calibri" w:cs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 w:eastAsia="Calibri" w:cs="Calibr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Calibri" w:hAnsi="Calibri" w:eastAsia="Calibri" w:cs="Calibr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Calibri" w:hAnsi="Calibri" w:eastAsia="Calibri" w:cs="Calibr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Calibri" w:hAnsi="Calibri" w:eastAsia="Calibri" w:cs="Calibr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Calibri" w:hAnsi="Calibri" w:eastAsia="Calibri" w:cs="Calibr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Calibri" w:hAnsi="Calibri" w:eastAsia="Calibri" w:cs="Calibr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Calibri" w:hAnsi="Calibri" w:eastAsia="Calibri" w:cs="Calibr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Calibri" w:cs="Calibr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libri" w:hAnsi="Calibri" w:eastAsia="Calibri" w:cs="Calibri"/>
        <w:b/>
        <w:bCs/>
      </w:rPr>
    </w:tblStylePr>
    <w:tblStylePr w:type="lastCol">
      <w:rPr>
        <w:rFonts w:ascii="Calibri" w:hAnsi="Calibri" w:eastAsia="Calibri" w:cs="Calibr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eastAsia="Calibri" w:cs="Calibr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Calibri" w:hAnsi="Calibri" w:eastAsia="Calibri" w:cs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au">
    <w:name w:val="Tableau"/>
    <w:basedOn w:val="Normal"/>
    <w:pPr>
      <w:spacing w:after="0" w:line="252" w:lineRule="auto"/>
    </w:pPr>
    <w:rPr>
      <w:sz w:val="19"/>
    </w:rPr>
  </w:style>
  <w:style w:type="paragraph" w:customStyle="1" w:styleId="TableauEntete">
    <w:name w:val="Tableau en-tête"/>
    <w:basedOn w:val="Tableau"/>
    <w:rPr>
      <w:b/>
      <w:color w:val="3A424C"/>
      <w:sz w:val="17"/>
    </w:rPr>
  </w:style>
  <w:style w:type="paragraph" w:customStyle="1" w:styleId="Note">
    <w:name w:val="Note"/>
    <w:basedOn w:val="Normal"/>
    <w:pPr>
      <w:spacing w:after="80"/>
    </w:pPr>
    <w:rPr>
      <w:color w:val="5B6570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— Réfection des conduites d'aqueduc et d'égout sanitaire, rue des Érables (phase 2)</dc:title>
  <dc:subject>MA-2026-041</dc:subject>
  <dc:creator>Terrassement Hautes-Brumes inc.</dc:creator>
  <cp:keywords/>
  <dc:description/>
  <cp:lastModifiedBy>Terrassement Hautes-Brumes inc.</cp:lastModifiedBy>
  <cp:revision>1</cp:revision>
  <dcterms:created xsi:type="dcterms:W3CDTF">2026-10-08T12:00:00Z</dcterms:created>
  <dcterms:modified xsi:type="dcterms:W3CDTF">2026-10-08T12:00:00Z</dcterms:modified>
  <cp:category/>
  <dc:language>fr-CA</dc:language>
</cp:coreProperties>
</file>